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188</w:t>
      </w:r>
    </w:p>
    <w:p>
      <w:r>
        <w:t>Bundesgericht (BGE), 2009-08-21, DE</w:t>
      </w:r>
    </w:p>
    <w:p>
      <w:r>
        <w:rPr>
          <w:b/>
        </w:rPr>
        <w:t xml:space="preserve">Quelle: </w:t>
      </w:r>
      <w:r>
        <w:t>https://mcp.opencaselaw.ch/entscheid/bge_135 IV 188</w:t>
      </w:r>
    </w:p>
    <w:p>
      <w:r>
        <w:t>FR: ATF 135 IV 188</w:t>
      </w:r>
    </w:p>
    <w:p>
      <w:r>
        <w:t>IT: DTF 135 IV 188</w:t>
      </w:r>
    </w:p>
    <w:p>
      <w:pPr>
        <w:pStyle w:val="Heading2"/>
      </w:pPr>
      <w:r>
        <w:t>Regeste</w:t>
      </w:r>
    </w:p>
    <w:p>
      <w:r>
        <w:t>Regeste Verbindungsstrafe gemäss Art. 42 Abs. 4 StGB. Aus der systematischen Einordnung von Art. 42 Abs. 4 StGB ergibt sich, dass das Hauptgewicht auf der bedingten Freiheits- oder Geldstrafe liegt und die unbedingte Verbindungsgeldstrafe bzw. -busse nur untergeordnete Bedeutung hat. Um dem akzessorischen Charakter der Verbindungsstrafe gerecht zu werden, erscheint es sachgerecht, die Obergrenze grundsätzlich auf einen Fünftel beziehungsweise 20 % festzulegen. Abweichungen von dieser Regel sind im Bereich tiefer Strafen denkbar, um sicherzustellen, dass der Verbindungsstrafe nicht eine lediglich symbolische Bedeutung zukommt (E. 3.4.4).</w:t>
      </w:r>
    </w:p>
    <w:p>
      <w:pPr>
        <w:pStyle w:val="Heading2"/>
      </w:pPr>
      <w:r>
        <w:t>Erwägungen</w:t>
      </w:r>
    </w:p>
    <w:p>
      <w:r>
        <w:rPr>
          <w:b/>
        </w:rPr>
        <w:t>E. 3.1</w:t>
      </w:r>
    </w:p>
    <w:p>
      <w:r>
        <w:t>Der Beschwerdeführer rügt weiter, die unbedingte Verbindungsgeldstrafe in der Höhe von 180 Tagessätzen à Fr. 3'000.- verletze Art. 42 Abs. 4 StGB , da dieser Geldstrafe gegenüber der bedingten Freiheitsstrafe von 18 Monaten nicht bloss untergeordnete beziehungsweise akzessorische Bedeutung zukomme. Sachgerechterweise sei von einer Verbindungsgeldstrafe ganz abzusehen, allenfalls sei eine Geldstrafe von maximal 10 Tagessätzen festzusetzen, wobei die BGE 135 IV 188 S. 189 Bemessung des Tagessatzes von Fr. 3'000.- insoweit nicht angefochten werde. Eventualiter sei die Sache zur Neubeurteilung an die Vorinstanz zurückzuweisen.</w:t>
      </w:r>
    </w:p>
    <w:p>
      <w:r>
        <w:rPr>
          <w:b/>
        </w:rPr>
        <w:t>E. 3.2</w:t>
      </w:r>
    </w:p>
    <w:p>
      <w:r>
        <w:t>Die Vorinstanz hat erwogen, insgesamt erscheine eine Freiheitsstrafe von 24 Monaten dem Verschulden des Beschwerdeführers angemessen. Nach geltendem Recht sei für Freiheitsstrafen bis zu zwei Jahren der bedingte Vollzug möglich und mit einer solchen Sanktion könne gestützt auf Art. 42 Abs. 4 StGB eine unbedingte Geldstrafe oder Busse verbunden werden. Die unbedingte Verbindungsstrafe trage dazu bei, das unter spezial- und generalpräventiven Gesichtspunkten eher geringe Drohpotenzial der bedingten Freiheitsstrafe zu erhöhen. Dem Verurteilten solle ein Denkzettel verpasst werden können, um ihm den Ernst der Lage vor Augen zu führen und zugleich zu demonstrieren, was bei Nichtbewährung drohe. Die kombinierte Strafe dürfe den Rahmen des dem Verschulden Angemessenen nicht überschreiten, welches hier einem Zeitäquivalent von 24 Monaten entspreche. Es rechtfertige sich unter diesen Gesichtspunkten eine Freiheitsstrafe von 18 Monaten, mangels negativer Legalprognose bedingt auf zwei Jahre, verbunden mit einer unbedingten Geldstrafe von 180 Tagessätzen auszusprechen. Der Tagessatz sei auf Fr. 3'000.- festzusetzen.</w:t>
      </w:r>
    </w:p>
    <w:p>
      <w:r>
        <w:rPr>
          <w:b/>
        </w:rPr>
        <w:t>E. 3.3</w:t>
      </w:r>
    </w:p>
    <w:p>
      <w:r>
        <w:t>Gestützt auf Art. 42 Abs. 4 StGB kann eine bedingte Strafe mit einer unbedingten Geldstrafe oder mit einer Busse nach Art. 106 StGB verbunden werden. Das Bundesgericht hat sich in zwei Grundsatzentscheiden zu den Verbindungsstrafen nach Art. 42 Abs. 4 StGB geäussert ( BGE 134 IV 1 und 60). Diese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beziehungsweise Busse nur untergeordnete Bedeutung zukommt. Dies ergibt sich aus der systematischen Einordnung von Art. 42 Abs. 4 StGB , welche die unbedingte Geldstrafe als bloss akzessorische Strafe ausweist. Die Verbindungsgeldstrafe soll nicht etwa zu einer Straferhöhung führen oder eine zusätzliche Strafe ermöglichen. Sie erlaubt lediglich innerhalb der schuldangemessenen BGE 135 IV 188 S. 190 Strafe eine täter- und tatangemessene Sanktion, wobei die an sich verwirkte Freiheitsstrafe und die damit verbundene Geldstrafe beziehungsweise Busse in ihrer Summe schuldangemessen sein müssen ( BGE 134 IV 1 E. 4.5.2).</w:t>
      </w:r>
    </w:p>
    <w:p>
      <w:r>
        <w:rPr>
          <w:b/>
        </w:rPr>
        <w:t>E. 3.4.1</w:t>
      </w:r>
    </w:p>
    <w:p>
      <w:r>
        <w:t>Die Vorinstanz führt aus, insgesamt sei eine Strafe mit einem "Zeitäquivalenz" von 24 Monaten dem Verschulden des Beschwerdeführers angemessen. In Würdigung der gesamten Umstände erscheint diese Strafe mild, jedenfalls aber hat die Vorinstanz hierdurch das ihr bei der Strafzumessung zustehende Ermessen nicht verletzt. Des Weiteren hat die Vorinstanz ohne Bundesrechtsverletzung gefolgert, es erscheine angebracht, gestützt auf Art. 42 Abs. 4 StGB eine unbedingte Verbindungsgeldstrafe auszusprechen, um dem Beschwerdeführer den Ernst der Lage vor Augen zu führen.</w:t>
      </w:r>
    </w:p>
    <w:p>
      <w:r>
        <w:rPr>
          <w:b/>
        </w:rPr>
        <w:t>E. 3.4.2</w:t>
      </w:r>
    </w:p>
    <w:p>
      <w:r>
        <w:t>Allerdings widerspricht ein Verhältnis von drei Vierteln zu einem Viertel, d.h. eine bedingte Freiheitsstrafe von 18 Monaten verbunden mit einer unbedingten Geldstrafe von 180 Tagessätzen, der dargestellten bundesgerichtlichen Rechtsprechung zu Art. 42 Abs. 4 StGB , wonach die unbedingte Verbindungsstrafe nur untergeordnete Bedeutung haben darf. So erwog das Bundesgericht in BGE 134 IV 1 E. 6.2, mit der Verhängung einer unbedingten Geldstrafe in der Höhe von 180 Tagessätzen respektive eines Viertels der schuldangemessenen Gesamtstrafe werde der Verbindungsstrafe ein zu gewichtiger Stellenwert eingeräumt und damit Art. 42 Abs. 4 StGB unrichtig angewendet. Gleiches hat im zu beurteilenden Fall zu gelten.</w:t>
      </w:r>
    </w:p>
    <w:p>
      <w:r>
        <w:rPr>
          <w:b/>
        </w:rPr>
        <w:t>E. 3.4.3</w:t>
      </w:r>
    </w:p>
    <w:p>
      <w:r>
        <w:t>Auf der anderen Seite wäre eine Erhöhung der ausgesprochenen bedingten Freiheitsstrafe von 18 Monaten zulasten der unbedingten Geldstrafe von 180 Tagessätzen - unter Beibehaltung des Zeitäquivalents der Strafe von 24 Monaten - im zu beurteilenden Fall zwar durchaus sachgerecht. Ihr steht jedoch das "Verbot der reformatio in peius" (Schlechterstellungsverbot) entgegen, denn eine Geldstrafe ist unabhängig von der Vollzugsform in jedem Fall als milder einzustufen als eine Freiheitsstrafe ( BGE 134 IV 82 E. 7.2.2).</w:t>
      </w:r>
    </w:p>
    <w:p>
      <w:r>
        <w:rPr>
          <w:b/>
        </w:rPr>
        <w:t>E. 3.4.4</w:t>
      </w:r>
    </w:p>
    <w:p>
      <w:r>
        <w:t>Um Art. 42 Abs. 4 StGB nicht zu missachten und das Schlechterstellungsverbot zu befolgen, ist daher die neben der bedingten Freiheitsstrafe von 18 Monaten verhängte unbedingte Geldstrafe von 180 Tagessätzen auf das zulässige Mass herabzusetzen. BGE 135 IV 188 S. 191 Die Frage, wie hoch eine Verbindungsstrafe im Regelfall maximal angesetzt werden darf, damit dieser noch untergeordnete Bedeutung im Sinne von Art. 42 Abs. 4 StGB beigemessen werden kann, wurde weder in der Botschaft noch in den parlamentarischen Beratungen thematisiert, und auch in der Lehre finden sich insoweit keine näheren Ausführungen. Um dem akzessorischen Charakter der Verbindungsstrafe gerecht zu werden, erscheint es sachgerecht, die Obergrenze grundsätzlich auf einen Fünftel beziehungsweise 20 % festzulegen. Abweichungen von dieser Regel sind im Bereich tiefer Strafen denkbar, um sicherzustellen, dass der Verbindungsstrafe nicht eine lediglich symbolische Bedeutung zukommt (vgl. zur ähnlich gelagerten Problematik bei der Berechnung des Tagessatzes von Geldstrafen BGE 134 IV 60 E. 6.5.2 und BGE 135 IV 180 E. 1). Diese Gefahr besteht im zu beurteilenden Fall nicht. Die unbedingte Verbindungsgeldstrafe könnte folglich vorliegend auf maximal 135 Tagessätze à Fr. 3'000.- festgesetzt werden. Ob die Vorinstanz den ihr bei der Strafzumessung zukommenden Spielraum auszuschöpfen gedenkt, steht in ihrem Ermessen, weshalb die Sache in teilweiser Gutheissung der Beschwerde zur Neubeurteilung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